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Pr="00967C83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 w:rsidRPr="00967C83">
        <w:rPr>
          <w:b/>
          <w:sz w:val="26"/>
          <w:szCs w:val="26"/>
        </w:rPr>
        <w:t>CÔNG TY: ……………………………………………</w:t>
      </w:r>
    </w:p>
    <w:p w:rsidR="00F433A2" w:rsidRPr="00967C83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 w:rsidRPr="00967C83">
        <w:rPr>
          <w:b/>
          <w:sz w:val="26"/>
          <w:szCs w:val="26"/>
          <w:lang w:val="vi-VN"/>
        </w:rPr>
        <w:t>MST</w:t>
      </w:r>
      <w:r w:rsidRPr="00967C83">
        <w:rPr>
          <w:b/>
          <w:sz w:val="26"/>
          <w:szCs w:val="26"/>
        </w:rPr>
        <w:t>: ……………………………………………</w:t>
      </w:r>
      <w:r w:rsidRPr="00967C83">
        <w:rPr>
          <w:b/>
          <w:sz w:val="26"/>
          <w:szCs w:val="26"/>
          <w:lang w:val="vi-VN"/>
        </w:rPr>
        <w:t>.........</w:t>
      </w:r>
    </w:p>
    <w:p w:rsidR="00F433A2" w:rsidRPr="00967C83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 w:rsidRPr="00967C83">
        <w:rPr>
          <w:b/>
          <w:sz w:val="26"/>
          <w:szCs w:val="26"/>
        </w:rPr>
        <w:t>ĐỊA CHỈ: …………………………………………</w:t>
      </w:r>
      <w:proofErr w:type="gramStart"/>
      <w:r w:rsidRPr="00967C83">
        <w:rPr>
          <w:b/>
          <w:sz w:val="26"/>
          <w:szCs w:val="26"/>
        </w:rPr>
        <w:t>…..</w:t>
      </w:r>
      <w:proofErr w:type="gramEnd"/>
    </w:p>
    <w:p w:rsidR="006D1C55" w:rsidRPr="00967C83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 w:rsidRPr="00967C83"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 w:rsidR="005A40FA">
        <w:rPr>
          <w:bCs/>
          <w:sz w:val="26"/>
          <w:szCs w:val="26"/>
        </w:rPr>
        <w:t>412</w:t>
      </w:r>
      <w:r>
        <w:rPr>
          <w:bCs/>
          <w:sz w:val="26"/>
          <w:szCs w:val="26"/>
        </w:rPr>
        <w:t>/</w:t>
      </w:r>
      <w:r w:rsidR="006A0F57">
        <w:rPr>
          <w:bCs/>
          <w:sz w:val="26"/>
          <w:szCs w:val="26"/>
        </w:rPr>
        <w:t>BVĐHYD-</w:t>
      </w:r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</w:t>
      </w:r>
      <w:proofErr w:type="spellStart"/>
      <w:r w:rsidR="006A0F57">
        <w:rPr>
          <w:bCs/>
          <w:sz w:val="26"/>
          <w:szCs w:val="26"/>
        </w:rPr>
        <w:t>ngày</w:t>
      </w:r>
      <w:proofErr w:type="spellEnd"/>
      <w:r w:rsidR="006A0F57">
        <w:rPr>
          <w:bCs/>
          <w:sz w:val="26"/>
          <w:szCs w:val="26"/>
        </w:rPr>
        <w:t xml:space="preserve"> </w:t>
      </w:r>
      <w:r w:rsidR="005A40FA">
        <w:rPr>
          <w:bCs/>
          <w:sz w:val="26"/>
          <w:szCs w:val="26"/>
        </w:rPr>
        <w:t>19</w:t>
      </w:r>
      <w:r w:rsidR="006A0F57">
        <w:rPr>
          <w:bCs/>
          <w:sz w:val="26"/>
          <w:szCs w:val="26"/>
        </w:rPr>
        <w:t>/</w:t>
      </w:r>
      <w:r w:rsidR="005A40FA">
        <w:rPr>
          <w:bCs/>
          <w:sz w:val="26"/>
          <w:szCs w:val="26"/>
        </w:rPr>
        <w:t>12</w:t>
      </w:r>
      <w:r w:rsidR="006A0F57">
        <w:rPr>
          <w:bCs/>
          <w:sz w:val="26"/>
          <w:szCs w:val="26"/>
        </w:rPr>
        <w:t>/</w:t>
      </w:r>
      <w:proofErr w:type="spellStart"/>
      <w:r w:rsidR="006A0F57">
        <w:rPr>
          <w:bCs/>
          <w:sz w:val="26"/>
          <w:szCs w:val="26"/>
        </w:rPr>
        <w:t>năm</w:t>
      </w:r>
      <w:proofErr w:type="spellEnd"/>
      <w:r w:rsidR="005A40FA">
        <w:rPr>
          <w:bCs/>
          <w:sz w:val="26"/>
          <w:szCs w:val="26"/>
        </w:rPr>
        <w:t xml:space="preserve"> 2023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0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529"/>
        <w:gridCol w:w="1405"/>
        <w:gridCol w:w="1168"/>
        <w:gridCol w:w="2256"/>
        <w:gridCol w:w="1274"/>
        <w:gridCol w:w="1073"/>
        <w:gridCol w:w="1076"/>
        <w:gridCol w:w="521"/>
        <w:gridCol w:w="1073"/>
        <w:gridCol w:w="1073"/>
        <w:gridCol w:w="1071"/>
      </w:tblGrid>
      <w:tr w:rsidR="006D1C55" w:rsidTr="00D710E6">
        <w:trPr>
          <w:trHeight w:val="884"/>
        </w:trPr>
        <w:tc>
          <w:tcPr>
            <w:tcW w:w="5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52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8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3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521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3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3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1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D710E6">
        <w:tc>
          <w:tcPr>
            <w:tcW w:w="565" w:type="dxa"/>
          </w:tcPr>
          <w:p w:rsidR="006D1C55" w:rsidRDefault="00967C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29" w:type="dxa"/>
          </w:tcPr>
          <w:p w:rsidR="006D1C55" w:rsidRDefault="005A40FA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신명조"/>
                <w:b/>
                <w:sz w:val="26"/>
                <w:szCs w:val="26"/>
                <w:lang w:eastAsia="ko-KR"/>
              </w:rPr>
              <w:t>T</w:t>
            </w:r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>ủ</w:t>
            </w:r>
            <w:proofErr w:type="spellEnd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>lạ</w:t>
            </w:r>
            <w:bookmarkStart w:id="0" w:name="_GoBack"/>
            <w:bookmarkEnd w:id="0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>nh</w:t>
            </w:r>
            <w:proofErr w:type="spellEnd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>bảo</w:t>
            </w:r>
            <w:proofErr w:type="spellEnd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>quản</w:t>
            </w:r>
            <w:proofErr w:type="spellEnd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>dược</w:t>
            </w:r>
            <w:proofErr w:type="spellEnd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967C83">
              <w:rPr>
                <w:rFonts w:eastAsia="신명조"/>
                <w:b/>
                <w:sz w:val="26"/>
                <w:szCs w:val="26"/>
                <w:lang w:eastAsia="ko-KR"/>
              </w:rPr>
              <w:t>phẩm</w:t>
            </w:r>
            <w:proofErr w:type="spellEnd"/>
          </w:p>
        </w:tc>
        <w:tc>
          <w:tcPr>
            <w:tcW w:w="140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6D1C55" w:rsidRDefault="006D1C55" w:rsidP="00967C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6D1C55" w:rsidRDefault="00967C83" w:rsidP="00967C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1073" w:type="dxa"/>
          </w:tcPr>
          <w:p w:rsidR="006D1C55" w:rsidRDefault="006D1C55" w:rsidP="00967C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967C83" w:rsidRDefault="00967C83" w:rsidP="00967C83">
      <w:pPr>
        <w:pStyle w:val="ListParagraph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gốm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GTGT,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loain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;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việc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).</w:t>
      </w:r>
    </w:p>
    <w:p w:rsidR="00967C83" w:rsidRDefault="00967C83" w:rsidP="00967C83">
      <w:pPr>
        <w:pStyle w:val="ListParagraph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ngày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; </w:t>
      </w:r>
    </w:p>
    <w:p w:rsidR="00967C83" w:rsidRDefault="00967C83" w:rsidP="00967C83">
      <w:pPr>
        <w:pStyle w:val="ListParagraph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Minh (201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12,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5,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Minh);</w:t>
      </w:r>
    </w:p>
    <w:p w:rsidR="00967C83" w:rsidRDefault="00967C83" w:rsidP="00967C83">
      <w:pPr>
        <w:pStyle w:val="ListParagraph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): </w:t>
      </w:r>
      <w:proofErr w:type="gramStart"/>
      <w:r>
        <w:rPr>
          <w:sz w:val="26"/>
          <w:szCs w:val="26"/>
        </w:rPr>
        <w:t>…..</w:t>
      </w:r>
      <w:proofErr w:type="spellStart"/>
      <w:proofErr w:type="gramEnd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>;</w:t>
      </w:r>
    </w:p>
    <w:p w:rsidR="00967C83" w:rsidRDefault="00967C83" w:rsidP="00967C83">
      <w:pPr>
        <w:pStyle w:val="ListParagraph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chênh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lệch</w:t>
      </w:r>
      <w:proofErr w:type="spellEnd"/>
      <w:r>
        <w:rPr>
          <w:sz w:val="26"/>
          <w:szCs w:val="26"/>
        </w:rPr>
        <w:t>;</w:t>
      </w:r>
    </w:p>
    <w:p w:rsidR="00967C83" w:rsidRDefault="00967C83" w:rsidP="00967C83">
      <w:pPr>
        <w:pStyle w:val="ListParagraph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100%,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ISO/FDA/CE…;</w:t>
      </w:r>
    </w:p>
    <w:p w:rsidR="00967C83" w:rsidRDefault="00967C83" w:rsidP="00967C83">
      <w:pPr>
        <w:pStyle w:val="ListParagraph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67C83"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tờ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967C83">
      <w:footerReference w:type="first" r:id="rId14"/>
      <w:pgSz w:w="16839" w:h="11907" w:orient="landscape" w:code="9"/>
      <w:pgMar w:top="284" w:right="1134" w:bottom="426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40" w:rsidRDefault="00C67F40">
      <w:r>
        <w:separator/>
      </w:r>
    </w:p>
  </w:endnote>
  <w:endnote w:type="continuationSeparator" w:id="0">
    <w:p w:rsidR="00C67F40" w:rsidRDefault="00C6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신명조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40" w:rsidRDefault="00C67F40">
      <w:r>
        <w:separator/>
      </w:r>
    </w:p>
  </w:footnote>
  <w:footnote w:type="continuationSeparator" w:id="0">
    <w:p w:rsidR="00C67F40" w:rsidRDefault="00C67F40">
      <w:r>
        <w:continuationSeparator/>
      </w:r>
    </w:p>
  </w:footnote>
  <w:footnote w:id="1">
    <w:p w:rsidR="006D1C55" w:rsidRDefault="006D1C5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923AE"/>
    <w:rsid w:val="000C7BBA"/>
    <w:rsid w:val="001C0685"/>
    <w:rsid w:val="004608F5"/>
    <w:rsid w:val="005A40FA"/>
    <w:rsid w:val="006A0F57"/>
    <w:rsid w:val="006D1C55"/>
    <w:rsid w:val="00756E46"/>
    <w:rsid w:val="007B256C"/>
    <w:rsid w:val="00895C85"/>
    <w:rsid w:val="00967C83"/>
    <w:rsid w:val="00971F06"/>
    <w:rsid w:val="00B86A79"/>
    <w:rsid w:val="00BE7D77"/>
    <w:rsid w:val="00C67F40"/>
    <w:rsid w:val="00D710E6"/>
    <w:rsid w:val="00E555C3"/>
    <w:rsid w:val="00E70575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9E852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AC437EA-D82F-41EE-9CE7-CC1F4B4E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4</cp:revision>
  <cp:lastPrinted>2023-12-19T01:50:00Z</cp:lastPrinted>
  <dcterms:created xsi:type="dcterms:W3CDTF">2023-12-16T07:16:00Z</dcterms:created>
  <dcterms:modified xsi:type="dcterms:W3CDTF">2023-12-19T02:03:00Z</dcterms:modified>
</cp:coreProperties>
</file>