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974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889"/>
        <w:gridCol w:w="2409"/>
        <w:gridCol w:w="722"/>
        <w:gridCol w:w="708"/>
        <w:gridCol w:w="1269"/>
        <w:gridCol w:w="1270"/>
      </w:tblGrid>
      <w:tr w:rsidR="00E76A84" w:rsidRPr="00E76A84" w:rsidTr="00E76A84">
        <w:tc>
          <w:tcPr>
            <w:tcW w:w="481" w:type="dxa"/>
            <w:vAlign w:val="center"/>
          </w:tcPr>
          <w:p w:rsidR="00E76A84" w:rsidRPr="00E76A84" w:rsidRDefault="00E76A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E76A84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889" w:type="dxa"/>
            <w:vAlign w:val="center"/>
          </w:tcPr>
          <w:p w:rsidR="00E76A84" w:rsidRPr="00E76A84" w:rsidRDefault="00E76A84" w:rsidP="00E76A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76A84">
              <w:rPr>
                <w:b/>
                <w:sz w:val="22"/>
                <w:szCs w:val="22"/>
              </w:rPr>
              <w:t>Tên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danh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2409" w:type="dxa"/>
            <w:vAlign w:val="center"/>
          </w:tcPr>
          <w:p w:rsidR="00E76A84" w:rsidRPr="00E76A84" w:rsidRDefault="00E76A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76A84">
              <w:rPr>
                <w:b/>
                <w:sz w:val="22"/>
                <w:szCs w:val="22"/>
              </w:rPr>
              <w:t>Yêu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cầu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kỹ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722" w:type="dxa"/>
            <w:vAlign w:val="center"/>
          </w:tcPr>
          <w:p w:rsidR="00E76A84" w:rsidRPr="00E76A84" w:rsidRDefault="00E76A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E76A84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8" w:type="dxa"/>
            <w:vAlign w:val="center"/>
          </w:tcPr>
          <w:p w:rsidR="00E76A84" w:rsidRPr="00E76A84" w:rsidRDefault="00E76A84" w:rsidP="00A0257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76A84">
              <w:rPr>
                <w:b/>
                <w:sz w:val="22"/>
                <w:szCs w:val="22"/>
              </w:rPr>
              <w:t>Số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269" w:type="dxa"/>
            <w:vAlign w:val="center"/>
          </w:tcPr>
          <w:p w:rsidR="00E76A84" w:rsidRPr="00E76A84" w:rsidRDefault="00E76A84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76A84">
              <w:rPr>
                <w:b/>
                <w:sz w:val="22"/>
                <w:szCs w:val="22"/>
              </w:rPr>
              <w:t>Đơn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270" w:type="dxa"/>
            <w:vAlign w:val="center"/>
          </w:tcPr>
          <w:p w:rsidR="00E76A84" w:rsidRPr="00E76A84" w:rsidRDefault="00E76A84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E76A84">
              <w:rPr>
                <w:b/>
                <w:sz w:val="22"/>
                <w:szCs w:val="22"/>
              </w:rPr>
              <w:t>Thành</w:t>
            </w:r>
            <w:proofErr w:type="spellEnd"/>
            <w:r w:rsidRPr="00E76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tiền</w:t>
            </w:r>
            <w:proofErr w:type="spellEnd"/>
          </w:p>
        </w:tc>
      </w:tr>
      <w:tr w:rsidR="00E76A84" w:rsidRPr="00E76A84" w:rsidTr="00E76A84">
        <w:trPr>
          <w:trHeight w:val="1304"/>
        </w:trPr>
        <w:tc>
          <w:tcPr>
            <w:tcW w:w="481" w:type="dxa"/>
            <w:vAlign w:val="center"/>
          </w:tcPr>
          <w:p w:rsidR="00E76A84" w:rsidRPr="00E76A84" w:rsidRDefault="00E76A84" w:rsidP="00A0257D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E76A84" w:rsidRPr="00E76A84" w:rsidRDefault="00E76A84" w:rsidP="0077441A">
            <w:pPr>
              <w:ind w:left="2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76A84">
              <w:rPr>
                <w:b/>
                <w:bCs/>
                <w:sz w:val="22"/>
                <w:szCs w:val="22"/>
              </w:rPr>
              <w:t>Dịch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vụ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sz w:val="22"/>
                <w:szCs w:val="22"/>
              </w:rPr>
              <w:t>t</w:t>
            </w:r>
            <w:r w:rsidRPr="00E76A84">
              <w:rPr>
                <w:b/>
                <w:bCs/>
                <w:sz w:val="22"/>
                <w:szCs w:val="22"/>
              </w:rPr>
              <w:t>huê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kho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lưu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trữ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hồ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sơ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E76A84">
              <w:rPr>
                <w:b/>
                <w:bCs/>
                <w:sz w:val="22"/>
                <w:szCs w:val="22"/>
              </w:rPr>
              <w:t xml:space="preserve"> 2023-2024</w:t>
            </w:r>
          </w:p>
        </w:tc>
        <w:tc>
          <w:tcPr>
            <w:tcW w:w="2409" w:type="dxa"/>
            <w:vAlign w:val="center"/>
          </w:tcPr>
          <w:p w:rsidR="00E76A84" w:rsidRPr="00E76A84" w:rsidRDefault="00E76A84" w:rsidP="00A0257D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51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E76A84">
              <w:rPr>
                <w:sz w:val="22"/>
                <w:szCs w:val="22"/>
              </w:rPr>
              <w:t>Phụ</w:t>
            </w:r>
            <w:proofErr w:type="spellEnd"/>
            <w:r w:rsidRPr="00E76A84">
              <w:rPr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sz w:val="22"/>
                <w:szCs w:val="22"/>
              </w:rPr>
              <w:t>lục</w:t>
            </w:r>
            <w:proofErr w:type="spellEnd"/>
            <w:r w:rsidRPr="00E76A84">
              <w:rPr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sz w:val="22"/>
                <w:szCs w:val="22"/>
              </w:rPr>
              <w:t>đính</w:t>
            </w:r>
            <w:proofErr w:type="spellEnd"/>
            <w:r w:rsidRPr="00E76A84">
              <w:rPr>
                <w:sz w:val="22"/>
                <w:szCs w:val="22"/>
              </w:rPr>
              <w:t xml:space="preserve"> </w:t>
            </w:r>
            <w:proofErr w:type="spellStart"/>
            <w:r w:rsidRPr="00E76A84">
              <w:rPr>
                <w:sz w:val="22"/>
                <w:szCs w:val="22"/>
              </w:rPr>
              <w:t>kèm</w:t>
            </w:r>
            <w:proofErr w:type="spellEnd"/>
          </w:p>
        </w:tc>
        <w:tc>
          <w:tcPr>
            <w:tcW w:w="722" w:type="dxa"/>
            <w:vAlign w:val="center"/>
          </w:tcPr>
          <w:p w:rsidR="00E76A84" w:rsidRPr="00E76A84" w:rsidRDefault="00E76A8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E76A84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708" w:type="dxa"/>
            <w:vAlign w:val="center"/>
          </w:tcPr>
          <w:p w:rsidR="00E76A84" w:rsidRPr="00E76A84" w:rsidRDefault="00E76A8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6A84">
              <w:rPr>
                <w:sz w:val="22"/>
                <w:szCs w:val="22"/>
              </w:rPr>
              <w:t>12</w:t>
            </w:r>
          </w:p>
        </w:tc>
        <w:tc>
          <w:tcPr>
            <w:tcW w:w="1269" w:type="dxa"/>
            <w:vAlign w:val="center"/>
          </w:tcPr>
          <w:p w:rsidR="00E76A84" w:rsidRPr="00E76A84" w:rsidRDefault="00E76A8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76A84" w:rsidRPr="00E76A84" w:rsidRDefault="00E76A84" w:rsidP="007F7B9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E76A84">
        <w:rPr>
          <w:sz w:val="26"/>
          <w:szCs w:val="26"/>
        </w:rPr>
        <w:t xml:space="preserve"> 18</w:t>
      </w:r>
      <w:r w:rsidR="0077441A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688"/>
        <w:gridCol w:w="3827"/>
      </w:tblGrid>
      <w:tr w:rsidR="006D1C55" w:rsidTr="00E76A84">
        <w:tc>
          <w:tcPr>
            <w:tcW w:w="312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E76A84" w:rsidRDefault="00756E46" w:rsidP="00E76A84">
      <w:pPr>
        <w:tabs>
          <w:tab w:val="left" w:pos="1140"/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76A84" w:rsidRDefault="00E76A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6A84" w:rsidRDefault="00E76A84" w:rsidP="00E76A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PHỤ LỤC. PHẠM VI CUNG CẤP VÀ YÊU CẦU KỸ THUẬT</w:t>
      </w:r>
    </w:p>
    <w:p w:rsidR="00E76A84" w:rsidRDefault="00E76A84" w:rsidP="00E76A84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Đính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kèm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văn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</w:t>
      </w:r>
      <w:proofErr w:type="spellEnd"/>
      <w:r>
        <w:rPr>
          <w:i/>
          <w:iCs/>
          <w:sz w:val="26"/>
          <w:szCs w:val="26"/>
        </w:rPr>
        <w:t xml:space="preserve"> …</w:t>
      </w:r>
      <w:proofErr w:type="gramStart"/>
      <w:r>
        <w:rPr>
          <w:i/>
          <w:iCs/>
          <w:sz w:val="26"/>
          <w:szCs w:val="26"/>
        </w:rPr>
        <w:t>….</w:t>
      </w:r>
      <w:r>
        <w:rPr>
          <w:i/>
          <w:iCs/>
          <w:szCs w:val="28"/>
        </w:rPr>
        <w:t>/</w:t>
      </w:r>
      <w:proofErr w:type="gramEnd"/>
      <w:r>
        <w:rPr>
          <w:i/>
          <w:iCs/>
          <w:szCs w:val="28"/>
        </w:rPr>
        <w:t xml:space="preserve">CS2 </w:t>
      </w:r>
      <w:proofErr w:type="spellStart"/>
      <w:r>
        <w:rPr>
          <w:i/>
          <w:iCs/>
          <w:szCs w:val="28"/>
        </w:rPr>
        <w:t>ngày</w:t>
      </w:r>
      <w:proofErr w:type="spellEnd"/>
      <w:r>
        <w:rPr>
          <w:i/>
          <w:iCs/>
          <w:szCs w:val="28"/>
        </w:rPr>
        <w:t xml:space="preserve"> …… </w:t>
      </w:r>
      <w:proofErr w:type="spellStart"/>
      <w:r>
        <w:rPr>
          <w:i/>
          <w:iCs/>
          <w:szCs w:val="28"/>
        </w:rPr>
        <w:t>tháng</w:t>
      </w:r>
      <w:proofErr w:type="spellEnd"/>
      <w:r>
        <w:rPr>
          <w:i/>
          <w:iCs/>
          <w:szCs w:val="28"/>
        </w:rPr>
        <w:t xml:space="preserve"> …. </w:t>
      </w:r>
      <w:proofErr w:type="spellStart"/>
      <w:r>
        <w:rPr>
          <w:i/>
          <w:iCs/>
          <w:szCs w:val="28"/>
        </w:rPr>
        <w:t>năm</w:t>
      </w:r>
      <w:proofErr w:type="spell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…..</w:t>
      </w:r>
      <w:proofErr w:type="gramEnd"/>
      <w:r>
        <w:rPr>
          <w:i/>
          <w:iCs/>
          <w:szCs w:val="28"/>
        </w:rPr>
        <w:t>)</w:t>
      </w:r>
    </w:p>
    <w:p w:rsidR="00E76A84" w:rsidRDefault="00E76A84" w:rsidP="00E76A84">
      <w:pPr>
        <w:rPr>
          <w:sz w:val="26"/>
          <w:szCs w:val="26"/>
        </w:rPr>
      </w:pPr>
    </w:p>
    <w:p w:rsidR="00E76A84" w:rsidRDefault="00E76A84" w:rsidP="00E76A84">
      <w:pPr>
        <w:pStyle w:val="ListParagraph"/>
        <w:numPr>
          <w:ilvl w:val="0"/>
          <w:numId w:val="35"/>
        </w:numPr>
        <w:spacing w:after="240"/>
        <w:ind w:left="567" w:hanging="436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Phạm</w:t>
      </w:r>
      <w:proofErr w:type="spellEnd"/>
      <w:r>
        <w:rPr>
          <w:b/>
          <w:sz w:val="26"/>
          <w:szCs w:val="26"/>
        </w:rPr>
        <w:t xml:space="preserve"> vi </w:t>
      </w:r>
      <w:proofErr w:type="spellStart"/>
      <w:r>
        <w:rPr>
          <w:b/>
          <w:sz w:val="26"/>
          <w:szCs w:val="26"/>
        </w:rPr>
        <w:t>cung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cấp</w:t>
      </w:r>
      <w:proofErr w:type="spellEnd"/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657"/>
        <w:gridCol w:w="1134"/>
        <w:gridCol w:w="1416"/>
      </w:tblGrid>
      <w:tr w:rsidR="00E76A84" w:rsidTr="00E76A84">
        <w:trPr>
          <w:trHeight w:val="50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</w:tc>
      </w:tr>
      <w:tr w:rsidR="00E76A84" w:rsidTr="00E76A84">
        <w:trPr>
          <w:trHeight w:val="10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84" w:rsidRDefault="00E76A84" w:rsidP="00E76A84">
            <w:pPr>
              <w:pStyle w:val="ListParagraph"/>
              <w:numPr>
                <w:ilvl w:val="0"/>
                <w:numId w:val="3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Dịch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huê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trữ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84" w:rsidRDefault="00E76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E76A84" w:rsidRDefault="00E76A84" w:rsidP="00E76A84">
      <w:pPr>
        <w:rPr>
          <w:sz w:val="26"/>
          <w:szCs w:val="26"/>
        </w:rPr>
      </w:pPr>
    </w:p>
    <w:p w:rsidR="00E76A84" w:rsidRDefault="00E76A84" w:rsidP="00E76A84">
      <w:pPr>
        <w:pStyle w:val="ListParagraph"/>
        <w:numPr>
          <w:ilvl w:val="0"/>
          <w:numId w:val="35"/>
        </w:numPr>
        <w:spacing w:line="276" w:lineRule="auto"/>
        <w:ind w:left="567" w:hanging="436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thuật</w:t>
      </w:r>
      <w:proofErr w:type="spellEnd"/>
    </w:p>
    <w:p w:rsidR="00E76A84" w:rsidRDefault="00E76A84" w:rsidP="00E76A84">
      <w:pPr>
        <w:pStyle w:val="ListParagraph"/>
        <w:numPr>
          <w:ilvl w:val="0"/>
          <w:numId w:val="37"/>
        </w:numPr>
        <w:spacing w:before="240" w:line="276" w:lineRule="auto"/>
        <w:ind w:left="70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thầu</w:t>
      </w:r>
      <w:proofErr w:type="spellEnd"/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ListParagraph"/>
        <w:numPr>
          <w:ilvl w:val="0"/>
          <w:numId w:val="37"/>
        </w:numPr>
        <w:spacing w:line="276" w:lineRule="auto"/>
        <w:ind w:left="70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thầu</w:t>
      </w:r>
      <w:proofErr w:type="spellEnd"/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&gt; 30 m2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tấn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, di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dàng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Khoảng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 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&lt; 20km.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Kho </w:t>
      </w:r>
      <w:proofErr w:type="spellStart"/>
      <w:r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chắn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chuột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hoại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nền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chắn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trần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06m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bị </w:t>
      </w:r>
      <w:proofErr w:type="spellStart"/>
      <w:r>
        <w:rPr>
          <w:sz w:val="26"/>
          <w:szCs w:val="26"/>
        </w:rPr>
        <w:t>thấm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dột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</w:t>
      </w:r>
      <w:r>
        <w:rPr>
          <w:sz w:val="26"/>
          <w:szCs w:val="26"/>
        </w:rPr>
        <w:t>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 ≥ 1,2m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≥ 2,4</w:t>
      </w:r>
      <w:r>
        <w:rPr>
          <w:sz w:val="26"/>
          <w:szCs w:val="26"/>
        </w:rPr>
        <w:t>m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Kho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qui </w:t>
      </w:r>
      <w:proofErr w:type="spellStart"/>
      <w:r>
        <w:rPr>
          <w:sz w:val="26"/>
          <w:szCs w:val="26"/>
        </w:rPr>
        <w:t>định</w:t>
      </w:r>
      <w:proofErr w:type="spellEnd"/>
    </w:p>
    <w:p w:rsidR="00E76A84" w:rsidRPr="00E76A84" w:rsidRDefault="00E76A84" w:rsidP="00E76A84">
      <w:pPr>
        <w:pStyle w:val="ListParagraph"/>
        <w:numPr>
          <w:ilvl w:val="0"/>
          <w:numId w:val="37"/>
        </w:numPr>
        <w:spacing w:line="276" w:lineRule="auto"/>
        <w:ind w:left="70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phòng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cháy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chữa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cháy</w:t>
      </w:r>
      <w:proofErr w:type="spellEnd"/>
      <w:r>
        <w:rPr>
          <w:b/>
          <w:sz w:val="26"/>
          <w:szCs w:val="26"/>
        </w:rPr>
        <w:t xml:space="preserve">, an </w:t>
      </w:r>
      <w:proofErr w:type="spellStart"/>
      <w:r>
        <w:rPr>
          <w:b/>
          <w:sz w:val="26"/>
          <w:szCs w:val="26"/>
        </w:rPr>
        <w:t>ninh</w:t>
      </w:r>
      <w:bookmarkStart w:id="0" w:name="_GoBack"/>
      <w:bookmarkEnd w:id="0"/>
      <w:proofErr w:type="spellEnd"/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ninh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24/7.</w:t>
      </w:r>
    </w:p>
    <w:p w:rsidR="00E76A84" w:rsidRDefault="00E76A84" w:rsidP="00E76A84">
      <w:pPr>
        <w:pStyle w:val="ListParagraph"/>
        <w:numPr>
          <w:ilvl w:val="0"/>
          <w:numId w:val="37"/>
        </w:numPr>
        <w:spacing w:line="276" w:lineRule="auto"/>
        <w:ind w:left="70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hồ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sơ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hàng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hóa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</w:t>
      </w:r>
      <w:proofErr w:type="spellEnd"/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236-238 </w:t>
      </w:r>
      <w:proofErr w:type="spellStart"/>
      <w:r>
        <w:rPr>
          <w:sz w:val="26"/>
          <w:szCs w:val="26"/>
        </w:rPr>
        <w:t>Rạch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Ấp</w:t>
      </w:r>
      <w:proofErr w:type="spellEnd"/>
      <w:r>
        <w:rPr>
          <w:sz w:val="26"/>
          <w:szCs w:val="26"/>
        </w:rPr>
        <w:t xml:space="preserve"> 5,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Chánh</w:t>
      </w:r>
      <w:proofErr w:type="spellEnd"/>
      <w:r>
        <w:rPr>
          <w:sz w:val="26"/>
          <w:szCs w:val="26"/>
        </w:rPr>
        <w:t xml:space="preserve">, TPHCM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: </w:t>
      </w:r>
    </w:p>
    <w:p w:rsidR="00E76A84" w:rsidRDefault="00E76A84" w:rsidP="00E76A84">
      <w:pPr>
        <w:pStyle w:val="BodyText"/>
        <w:spacing w:after="0" w:line="276" w:lineRule="auto"/>
        <w:ind w:left="426" w:right="8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</w:t>
      </w:r>
      <w:proofErr w:type="spellStart"/>
      <w:r>
        <w:rPr>
          <w:sz w:val="26"/>
          <w:szCs w:val="26"/>
        </w:rPr>
        <w:t>Tháo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sang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trạng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spacing w:after="0" w:line="276" w:lineRule="auto"/>
        <w:ind w:left="426" w:right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móc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nệm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tủ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>…</w:t>
      </w:r>
    </w:p>
    <w:p w:rsidR="00E76A84" w:rsidRDefault="00E76A84" w:rsidP="00E76A84">
      <w:pPr>
        <w:pStyle w:val="BodyText"/>
        <w:spacing w:after="0" w:line="276" w:lineRule="auto"/>
        <w:ind w:left="426" w:right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31/08/2023.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ListParagraph"/>
        <w:numPr>
          <w:ilvl w:val="0"/>
          <w:numId w:val="37"/>
        </w:numPr>
        <w:spacing w:line="276" w:lineRule="auto"/>
        <w:ind w:left="70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khác</w:t>
      </w:r>
      <w:proofErr w:type="spellEnd"/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 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>).</w:t>
      </w:r>
    </w:p>
    <w:p w:rsidR="00E76A84" w:rsidRDefault="00E76A84" w:rsidP="00E76A84">
      <w:pPr>
        <w:pStyle w:val="BodyText"/>
        <w:numPr>
          <w:ilvl w:val="0"/>
          <w:numId w:val="38"/>
        </w:numPr>
        <w:spacing w:after="0" w:line="276" w:lineRule="auto"/>
        <w:ind w:left="426" w:right="86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>.</w:t>
      </w:r>
    </w:p>
    <w:p w:rsidR="00E76A84" w:rsidRDefault="00E76A84" w:rsidP="00E76A84">
      <w:pPr>
        <w:rPr>
          <w:sz w:val="26"/>
          <w:szCs w:val="26"/>
        </w:rPr>
      </w:pPr>
    </w:p>
    <w:p w:rsidR="006D1C55" w:rsidRDefault="00E76A84" w:rsidP="00E76A84">
      <w:pPr>
        <w:tabs>
          <w:tab w:val="left" w:pos="1140"/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E76A84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58" w:rsidRDefault="000A2258">
      <w:r>
        <w:separator/>
      </w:r>
    </w:p>
  </w:endnote>
  <w:endnote w:type="continuationSeparator" w:id="0">
    <w:p w:rsidR="000A2258" w:rsidRDefault="000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58" w:rsidRDefault="000A2258">
      <w:r>
        <w:separator/>
      </w:r>
    </w:p>
  </w:footnote>
  <w:footnote w:type="continuationSeparator" w:id="0">
    <w:p w:rsidR="000A2258" w:rsidRDefault="000A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0C4"/>
    <w:multiLevelType w:val="hybridMultilevel"/>
    <w:tmpl w:val="0AB28B54"/>
    <w:lvl w:ilvl="0" w:tplc="306857DA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1753086C"/>
    <w:multiLevelType w:val="hybridMultilevel"/>
    <w:tmpl w:val="C73CC67C"/>
    <w:lvl w:ilvl="0" w:tplc="F3780B2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406DD4"/>
    <w:multiLevelType w:val="hybridMultilevel"/>
    <w:tmpl w:val="3E9C7A42"/>
    <w:lvl w:ilvl="0" w:tplc="375C134A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F7BA2"/>
    <w:multiLevelType w:val="hybridMultilevel"/>
    <w:tmpl w:val="B5D88F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A7D698C"/>
    <w:multiLevelType w:val="hybridMultilevel"/>
    <w:tmpl w:val="A3DCDE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725EC"/>
    <w:multiLevelType w:val="hybridMultilevel"/>
    <w:tmpl w:val="8AC6685E"/>
    <w:lvl w:ilvl="0" w:tplc="B78E44C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7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34"/>
  </w:num>
  <w:num w:numId="10">
    <w:abstractNumId w:val="3"/>
  </w:num>
  <w:num w:numId="11">
    <w:abstractNumId w:val="19"/>
  </w:num>
  <w:num w:numId="12">
    <w:abstractNumId w:val="4"/>
  </w:num>
  <w:num w:numId="13">
    <w:abstractNumId w:val="21"/>
  </w:num>
  <w:num w:numId="14">
    <w:abstractNumId w:val="11"/>
  </w:num>
  <w:num w:numId="15">
    <w:abstractNumId w:val="31"/>
  </w:num>
  <w:num w:numId="16">
    <w:abstractNumId w:val="9"/>
  </w:num>
  <w:num w:numId="17">
    <w:abstractNumId w:val="28"/>
  </w:num>
  <w:num w:numId="18">
    <w:abstractNumId w:val="20"/>
  </w:num>
  <w:num w:numId="19">
    <w:abstractNumId w:val="23"/>
  </w:num>
  <w:num w:numId="20">
    <w:abstractNumId w:val="12"/>
  </w:num>
  <w:num w:numId="21">
    <w:abstractNumId w:val="2"/>
  </w:num>
  <w:num w:numId="22">
    <w:abstractNumId w:val="5"/>
  </w:num>
  <w:num w:numId="23">
    <w:abstractNumId w:val="0"/>
  </w:num>
  <w:num w:numId="24">
    <w:abstractNumId w:val="30"/>
  </w:num>
  <w:num w:numId="25">
    <w:abstractNumId w:val="35"/>
  </w:num>
  <w:num w:numId="26">
    <w:abstractNumId w:val="17"/>
  </w:num>
  <w:num w:numId="27">
    <w:abstractNumId w:val="16"/>
  </w:num>
  <w:num w:numId="28">
    <w:abstractNumId w:val="32"/>
  </w:num>
  <w:num w:numId="29">
    <w:abstractNumId w:val="36"/>
  </w:num>
  <w:num w:numId="30">
    <w:abstractNumId w:val="22"/>
  </w:num>
  <w:num w:numId="31">
    <w:abstractNumId w:val="26"/>
  </w:num>
  <w:num w:numId="32">
    <w:abstractNumId w:val="29"/>
  </w:num>
  <w:num w:numId="33">
    <w:abstractNumId w:val="25"/>
  </w:num>
  <w:num w:numId="34">
    <w:abstractNumId w:val="3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A2258"/>
    <w:rsid w:val="004608F5"/>
    <w:rsid w:val="00604BAF"/>
    <w:rsid w:val="006D1C55"/>
    <w:rsid w:val="00756E46"/>
    <w:rsid w:val="0077441A"/>
    <w:rsid w:val="007F1C15"/>
    <w:rsid w:val="007F7B9C"/>
    <w:rsid w:val="00A0257D"/>
    <w:rsid w:val="00A7350F"/>
    <w:rsid w:val="00E76A84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041A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Paragraph,HAI_L1,HV_LIST1,Dieu 1,References,List Paragraph (numbered (a)),ANNEX,List Paragraph2,Normal 2,List_Paragraph,Multilevel para_II,Citation List,Resume Title,Bullets,List Bullet-OpsManual,Title Style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Paragraph Char,HAI_L1 Char,HV_LIST1 Char,Dieu 1 Char,References Char,List Paragraph (numbered (a)) Char,ANNEX Char,List Paragraph2 Char,Normal 2 Char,List_Paragraph Char,Multilevel para_II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6A0A394-0ED4-491E-AFAA-1FF09B02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9</cp:revision>
  <cp:lastPrinted>2022-05-26T03:23:00Z</cp:lastPrinted>
  <dcterms:created xsi:type="dcterms:W3CDTF">2023-06-27T03:01:00Z</dcterms:created>
  <dcterms:modified xsi:type="dcterms:W3CDTF">2023-08-02T03:53:00Z</dcterms:modified>
</cp:coreProperties>
</file>